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D" w:rsidRPr="00484EB1" w:rsidRDefault="003A3FBD" w:rsidP="003A3FBD">
      <w:pPr>
        <w:pStyle w:val="Titre2"/>
        <w:pageBreakBefore/>
        <w:spacing w:before="0"/>
        <w:ind w:left="1287"/>
        <w:jc w:val="both"/>
        <w:rPr>
          <w:color w:val="000000" w:themeColor="text1"/>
        </w:rPr>
      </w:pPr>
      <w:bookmarkStart w:id="0" w:name="_Toc468090095"/>
      <w:r>
        <w:rPr>
          <w:color w:val="000000" w:themeColor="text1"/>
        </w:rPr>
        <w:t>C</w:t>
      </w:r>
      <w:r w:rsidRPr="00484EB1">
        <w:rPr>
          <w:color w:val="000000" w:themeColor="text1"/>
        </w:rPr>
        <w:t>onvention d’expertise et d’entretien des hydrants publics :</w:t>
      </w:r>
      <w:bookmarkEnd w:id="0"/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ENTRE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La Commune…….………………….représentée par son Maire en exercice, dûment habilité par délibération du conseil municipal en date du</w:t>
      </w:r>
      <w:proofErr w:type="gramStart"/>
      <w:r w:rsidRPr="00484EB1">
        <w:rPr>
          <w:color w:val="000000" w:themeColor="text1"/>
        </w:rPr>
        <w:t>…….………………….</w:t>
      </w:r>
      <w:proofErr w:type="gramEnd"/>
      <w:r w:rsidRPr="00484EB1">
        <w:rPr>
          <w:color w:val="000000" w:themeColor="text1"/>
        </w:rPr>
        <w:t xml:space="preserve"> ci-après désignée « la Collectivité ».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Ou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L’établissement public</w:t>
      </w:r>
      <w:r>
        <w:rPr>
          <w:color w:val="000000" w:themeColor="text1"/>
        </w:rPr>
        <w:t xml:space="preserve"> de </w:t>
      </w:r>
      <w:r w:rsidRPr="00484EB1">
        <w:rPr>
          <w:color w:val="000000" w:themeColor="text1"/>
        </w:rPr>
        <w:t>coopération intercommunale</w:t>
      </w:r>
      <w:proofErr w:type="gramStart"/>
      <w:r w:rsidRPr="00484EB1">
        <w:rPr>
          <w:color w:val="000000" w:themeColor="text1"/>
        </w:rPr>
        <w:t>…….</w:t>
      </w:r>
      <w:r>
        <w:rPr>
          <w:color w:val="000000" w:themeColor="text1"/>
        </w:rPr>
        <w:t>………………….</w:t>
      </w:r>
      <w:proofErr w:type="gramEnd"/>
      <w:r>
        <w:rPr>
          <w:color w:val="000000" w:themeColor="text1"/>
        </w:rPr>
        <w:t xml:space="preserve"> représenté  par  son  p</w:t>
      </w:r>
      <w:r w:rsidRPr="00484EB1">
        <w:rPr>
          <w:color w:val="000000" w:themeColor="text1"/>
        </w:rPr>
        <w:t>résident en exercice, dûment habilité par délibération en date du…….…………………., ci-a</w:t>
      </w:r>
      <w:r>
        <w:rPr>
          <w:color w:val="000000" w:themeColor="text1"/>
        </w:rPr>
        <w:t>près désignée «La Collectivité</w:t>
      </w:r>
      <w:r w:rsidRPr="00484EB1">
        <w:rPr>
          <w:color w:val="000000" w:themeColor="text1"/>
        </w:rPr>
        <w:t xml:space="preserve">».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ET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…….………………….</w:t>
      </w:r>
      <w:r w:rsidRPr="00484EB1">
        <w:rPr>
          <w:color w:val="000000" w:themeColor="text1"/>
        </w:rPr>
        <w:t>,</w:t>
      </w:r>
      <w:proofErr w:type="gramEnd"/>
      <w:r w:rsidRPr="00484EB1">
        <w:rPr>
          <w:color w:val="000000" w:themeColor="text1"/>
        </w:rPr>
        <w:t xml:space="preserve"> c</w:t>
      </w:r>
      <w:r>
        <w:rPr>
          <w:color w:val="000000" w:themeColor="text1"/>
        </w:rPr>
        <w:t>i-après désignée « La Société» et représentée par : ………………………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ÉTANT PREALABLEMENT EXPOSE QUE</w:t>
      </w:r>
      <w:r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 xml:space="preserve">: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L’entretien et l’expertise périodique des PEI sont à la charge de la collectivité (RDDECI).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La collectivité a décidé de confier à la société la mission de procéder à l’expertise et entretien des PEI conformément au RDDECI dans les limites de son territoire.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b/>
          <w:color w:val="000000" w:themeColor="text1"/>
        </w:rPr>
      </w:pPr>
      <w:r w:rsidRPr="00484EB1">
        <w:rPr>
          <w:b/>
          <w:color w:val="000000" w:themeColor="text1"/>
        </w:rPr>
        <w:t>Il est convenu et arrêté ce qui suit</w:t>
      </w:r>
      <w:r>
        <w:rPr>
          <w:b/>
          <w:color w:val="000000" w:themeColor="text1"/>
        </w:rPr>
        <w:t xml:space="preserve"> </w:t>
      </w:r>
      <w:r w:rsidRPr="00484EB1">
        <w:rPr>
          <w:b/>
          <w:color w:val="000000" w:themeColor="text1"/>
        </w:rPr>
        <w:t xml:space="preserve">: </w:t>
      </w:r>
    </w:p>
    <w:p w:rsidR="003A3FBD" w:rsidRPr="00484EB1" w:rsidRDefault="003A3FBD" w:rsidP="003A3FBD">
      <w:pPr>
        <w:spacing w:after="0"/>
        <w:ind w:right="441"/>
        <w:jc w:val="both"/>
        <w:rPr>
          <w:b/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1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: Objet de la convention 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La collectivité confie à la société, qui accepte, une mission d’expertise des PEI situés sur son territoire, à l’exclusion de ceux placés dans les domaines privés, conformément aux clauses et conditions définies ci-après.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2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: Définition de la mission 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ind w:right="441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2-1 : Expertise périodique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Ce service consiste, chaque année, pour tous les PEI</w:t>
      </w:r>
      <w:r>
        <w:rPr>
          <w:color w:val="000000" w:themeColor="text1"/>
        </w:rPr>
        <w:t xml:space="preserve"> à</w:t>
      </w:r>
      <w:r w:rsidRPr="00484EB1">
        <w:rPr>
          <w:color w:val="000000" w:themeColor="text1"/>
        </w:rPr>
        <w:t xml:space="preserve"> :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- Effectuer  une  visite  de  contrôle  de  l’état  des  appareils  et  de  leur fonctionnement :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a)  Manœuvre et essai de débit et pression selon le RDDECI,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b)  Vérification du dispositif de vidange automatique de l’appareil (mis hors gel),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c)  Graissage de l’appareil,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d)  Contrôle de l’étanchéité,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- </w:t>
      </w:r>
      <w:r>
        <w:rPr>
          <w:color w:val="000000" w:themeColor="text1"/>
        </w:rPr>
        <w:t>Effectuer l</w:t>
      </w:r>
      <w:r w:rsidRPr="00484EB1">
        <w:rPr>
          <w:color w:val="000000" w:themeColor="text1"/>
        </w:rPr>
        <w:t>e marquage initial des appareils,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- Fournir à la collectivité un rapport mentionnant les prestations suivantes : 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a)  Le numéro du point d’eau,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b)  Le li</w:t>
      </w:r>
      <w:r>
        <w:rPr>
          <w:color w:val="000000" w:themeColor="text1"/>
        </w:rPr>
        <w:t>eu d’implantation de l’appareil,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c)  La nature de l’appareil,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d)  Caractéristiques demandées par le RDDECI</w:t>
      </w:r>
      <w:r>
        <w:rPr>
          <w:color w:val="000000" w:themeColor="text1"/>
        </w:rPr>
        <w:t>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e)  Les anomalies constatées,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f)  L</w:t>
      </w:r>
      <w:r w:rsidRPr="00484EB1">
        <w:rPr>
          <w:color w:val="000000" w:themeColor="text1"/>
        </w:rPr>
        <w:t>es opérations de réparation et d</w:t>
      </w:r>
      <w:r>
        <w:rPr>
          <w:color w:val="000000" w:themeColor="text1"/>
        </w:rPr>
        <w:t>e renouvellement à entreprendre :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Fournir  à  la  collectivité,  si  le  réseau  d’eau  potable  est  cartographié,  un  plan général avec le positionnement des hydrants (ou données numérisées),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Fournir au SDIS 56 toutes les informations comme p</w:t>
      </w:r>
      <w:r>
        <w:rPr>
          <w:color w:val="000000" w:themeColor="text1"/>
        </w:rPr>
        <w:t>récisé dans le R</w:t>
      </w:r>
      <w:r w:rsidRPr="00484EB1">
        <w:rPr>
          <w:color w:val="000000" w:themeColor="text1"/>
        </w:rPr>
        <w:t>DDECI,</w:t>
      </w:r>
    </w:p>
    <w:p w:rsidR="003A3FBD" w:rsidRPr="00484EB1" w:rsidRDefault="003A3FBD" w:rsidP="003A3FBD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Avant  toute  expertise,  la  population  avoisinante  et la  société  gestionnaire  du  réseau  d’eau potable devront être prévenues des perturbations que le débit important d’eau potable peut entraîner.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2-2 : Réparation – remplacement des hydrants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lastRenderedPageBreak/>
        <w:t>La réparation et le remplac</w:t>
      </w:r>
      <w:r>
        <w:rPr>
          <w:color w:val="000000" w:themeColor="text1"/>
        </w:rPr>
        <w:t>ement des pièces détériorées sont</w:t>
      </w:r>
      <w:r w:rsidRPr="00484EB1">
        <w:rPr>
          <w:color w:val="000000" w:themeColor="text1"/>
        </w:rPr>
        <w:t xml:space="preserve"> à la charge de…….…………………..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2-3 : Entretien des abords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L’entretien des accès des abords des hydrants est à la charge de…….…………………..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3</w:t>
      </w:r>
      <w:r>
        <w:rPr>
          <w:color w:val="000000" w:themeColor="text1"/>
          <w:u w:val="single"/>
        </w:rPr>
        <w:t xml:space="preserve"> </w:t>
      </w:r>
      <w:r w:rsidRPr="00484EB1">
        <w:rPr>
          <w:color w:val="000000" w:themeColor="text1"/>
        </w:rPr>
        <w:t>: Entrée en vigueur, durée, renouvellement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3-1 : Entrée en vigueur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La présente convention prendra effet dès </w:t>
      </w:r>
      <w:r>
        <w:rPr>
          <w:color w:val="000000" w:themeColor="text1"/>
        </w:rPr>
        <w:t>sa signature.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3-2 : Durée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t>La présente convention est conclue pour une durée de</w:t>
      </w:r>
      <w:proofErr w:type="gramStart"/>
      <w:r w:rsidRPr="00484EB1">
        <w:rPr>
          <w:color w:val="000000" w:themeColor="text1"/>
        </w:rPr>
        <w:t>…….………………….</w:t>
      </w:r>
      <w:proofErr w:type="gramEnd"/>
      <w:r w:rsidRPr="00484EB1">
        <w:rPr>
          <w:color w:val="000000" w:themeColor="text1"/>
        </w:rPr>
        <w:t xml:space="preserve"> à compter de cette date.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3-3 : Renouvellement </w:t>
      </w: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</w:p>
    <w:p w:rsidR="003A3FBD" w:rsidRPr="00484EB1" w:rsidRDefault="003A3FBD" w:rsidP="003A3FBD">
      <w:pPr>
        <w:spacing w:after="0"/>
        <w:jc w:val="both"/>
        <w:rPr>
          <w:i/>
          <w:color w:val="000000" w:themeColor="text1"/>
          <w:u w:val="single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4</w:t>
      </w:r>
      <w:r>
        <w:rPr>
          <w:color w:val="000000" w:themeColor="text1"/>
          <w:u w:val="single"/>
        </w:rPr>
        <w:t xml:space="preserve"> </w:t>
      </w:r>
      <w:r w:rsidRPr="00484EB1">
        <w:rPr>
          <w:color w:val="000000" w:themeColor="text1"/>
        </w:rPr>
        <w:t>: Responsabilités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5</w:t>
      </w:r>
      <w:r>
        <w:rPr>
          <w:color w:val="000000" w:themeColor="text1"/>
          <w:u w:val="single"/>
        </w:rPr>
        <w:t xml:space="preserve"> </w:t>
      </w:r>
      <w:r w:rsidRPr="00484EB1">
        <w:rPr>
          <w:color w:val="000000" w:themeColor="text1"/>
        </w:rPr>
        <w:t>: Conditions financières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6</w:t>
      </w:r>
      <w:r>
        <w:rPr>
          <w:color w:val="000000" w:themeColor="text1"/>
          <w:u w:val="single"/>
        </w:rPr>
        <w:t xml:space="preserve"> </w:t>
      </w:r>
      <w:r w:rsidRPr="00484EB1">
        <w:rPr>
          <w:color w:val="000000" w:themeColor="text1"/>
        </w:rPr>
        <w:t>: Résiliation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Fait à     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Le      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En deux exemplaires </w:t>
      </w:r>
    </w:p>
    <w:p w:rsidR="003A3FBD" w:rsidRDefault="003A3FBD" w:rsidP="003A3FBD">
      <w:pPr>
        <w:spacing w:after="0"/>
        <w:jc w:val="both"/>
        <w:rPr>
          <w:color w:val="000000" w:themeColor="text1"/>
        </w:rPr>
      </w:pPr>
    </w:p>
    <w:p w:rsidR="003A3FBD" w:rsidRDefault="003A3FBD" w:rsidP="003A3FBD">
      <w:pPr>
        <w:spacing w:after="0"/>
        <w:jc w:val="both"/>
        <w:rPr>
          <w:color w:val="000000" w:themeColor="text1"/>
        </w:rPr>
      </w:pPr>
    </w:p>
    <w:p w:rsidR="003A3FBD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  <w:bookmarkStart w:id="1" w:name="_GoBack"/>
      <w:bookmarkEnd w:id="1"/>
    </w:p>
    <w:p w:rsidR="003A3FBD" w:rsidRPr="003A3FBD" w:rsidRDefault="003A3FBD" w:rsidP="003A3FBD">
      <w:pPr>
        <w:spacing w:after="0"/>
        <w:jc w:val="both"/>
        <w:rPr>
          <w:b/>
          <w:color w:val="000000" w:themeColor="text1"/>
        </w:rPr>
      </w:pPr>
      <w:r w:rsidRPr="003A3FBD">
        <w:rPr>
          <w:b/>
          <w:color w:val="000000" w:themeColor="text1"/>
        </w:rPr>
        <w:t>La collectivité,                                                                                                                                        La société,</w:t>
      </w: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3A3FBD" w:rsidRPr="00484EB1" w:rsidRDefault="003A3FBD" w:rsidP="003A3FBD">
      <w:pPr>
        <w:spacing w:after="0"/>
        <w:jc w:val="both"/>
        <w:rPr>
          <w:color w:val="000000" w:themeColor="text1"/>
        </w:rPr>
      </w:pPr>
    </w:p>
    <w:p w:rsidR="00694CA2" w:rsidRDefault="00694CA2"/>
    <w:sectPr w:rsidR="00694CA2" w:rsidSect="003A3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96E"/>
    <w:multiLevelType w:val="multilevel"/>
    <w:tmpl w:val="3962C6FA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eastAsiaTheme="majorEastAsia" w:hAnsiTheme="minorHAnsi" w:cstheme="majorBidi" w:hint="default"/>
      </w:rPr>
    </w:lvl>
    <w:lvl w:ilvl="1">
      <w:start w:val="1"/>
      <w:numFmt w:val="decimal"/>
      <w:lvlText w:val="%1.%2"/>
      <w:lvlJc w:val="left"/>
      <w:pPr>
        <w:ind w:left="1428" w:hanging="576"/>
      </w:pPr>
    </w:lvl>
    <w:lvl w:ilvl="2">
      <w:start w:val="1"/>
      <w:numFmt w:val="decimal"/>
      <w:lvlText w:val="%1.%2.%3"/>
      <w:lvlJc w:val="left"/>
      <w:pPr>
        <w:ind w:left="610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D"/>
    <w:rsid w:val="003A3FBD"/>
    <w:rsid w:val="006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7B6B-79D4-4FCF-8F64-033D9D5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4"/>
    <w:rsid w:val="003A3FBD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3FBD"/>
    <w:pPr>
      <w:keepNext/>
      <w:keepLines/>
      <w:spacing w:before="200" w:after="0"/>
      <w:ind w:left="708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3FBD"/>
    <w:rPr>
      <w:rFonts w:eastAsiaTheme="majorEastAsia" w:cstheme="majorBidi"/>
      <w:b/>
      <w:bCs/>
      <w:color w:val="5B9BD5" w:themeColor="accent1"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BONNE</dc:creator>
  <cp:keywords/>
  <dc:description/>
  <cp:lastModifiedBy>Vincent BONNE</cp:lastModifiedBy>
  <cp:revision>1</cp:revision>
  <dcterms:created xsi:type="dcterms:W3CDTF">2017-07-20T08:29:00Z</dcterms:created>
  <dcterms:modified xsi:type="dcterms:W3CDTF">2017-07-20T08:31:00Z</dcterms:modified>
</cp:coreProperties>
</file>